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20" w:rsidRDefault="00FD2620" w:rsidP="00FD2620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Exit </w:t>
      </w:r>
      <w:proofErr w:type="gramStart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Test</w:t>
      </w:r>
      <w:r w:rsidRPr="002E03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 </w:t>
      </w: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:</w:t>
      </w:r>
      <w:proofErr w:type="gramEnd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</w:p>
    <w:p w:rsidR="00FD2620" w:rsidRPr="00325EEB" w:rsidRDefault="00FD2620" w:rsidP="00FD2620">
      <w:pPr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325EEB">
        <w:rPr>
          <w:rFonts w:ascii="Arial" w:hAnsi="Arial" w:cs="Arial"/>
          <w:sz w:val="32"/>
          <w:szCs w:val="32"/>
          <w:lang w:val="en-US" w:bidi="ar-DZ"/>
        </w:rPr>
        <w:t>say  whether</w:t>
      </w:r>
      <w:proofErr w:type="gramEnd"/>
      <w:r w:rsidRPr="00325EEB">
        <w:rPr>
          <w:rFonts w:ascii="Arial" w:hAnsi="Arial" w:cs="Arial"/>
          <w:sz w:val="32"/>
          <w:szCs w:val="32"/>
          <w:lang w:val="en-US" w:bidi="ar-DZ"/>
        </w:rPr>
        <w:t xml:space="preserve"> these statements are true or false :</w:t>
      </w: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>1. The marketing microenvironment includes suppliers, competitors, and intermediaries.</w:t>
      </w: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>2. Demographic trends, such as an aging population, are part of the microenvironment.</w:t>
      </w: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3. A new government regulation affecting advertising practices is an example of a political factor in the </w:t>
      </w:r>
      <w:proofErr w:type="spellStart"/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>macroenvironment</w:t>
      </w:r>
      <w:proofErr w:type="spellEnd"/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FD2620" w:rsidRPr="00FD2620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4. A company has full control over the </w:t>
      </w:r>
      <w:proofErr w:type="spellStart"/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>macroenvironment</w:t>
      </w:r>
      <w:proofErr w:type="spellEnd"/>
      <w:r w:rsidRPr="00FD2620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</w:p>
    <w:p w:rsidR="00FD2620" w:rsidRPr="00496025" w:rsidRDefault="00FD2620" w:rsidP="00FD2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D2620" w:rsidRDefault="00FD2620"/>
    <w:sectPr w:rsidR="00FD26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D2620"/>
    <w:rsid w:val="00FD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2024-12-13T19:32:00Z</dcterms:created>
  <dcterms:modified xsi:type="dcterms:W3CDTF">2024-12-13T19:38:00Z</dcterms:modified>
</cp:coreProperties>
</file>